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931" w:rsidRDefault="004178B2">
      <w:r>
        <w:t>Links to past papers from the old spec – module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Topic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Mutation and variation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Control of gene expression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Body plans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Variation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Monogenetic inheritance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proofErr w:type="spellStart"/>
            <w:r w:rsidRPr="004178B2">
              <w:rPr>
                <w:sz w:val="20"/>
                <w:szCs w:val="20"/>
              </w:rPr>
              <w:t>Dihybrid</w:t>
            </w:r>
            <w:proofErr w:type="spellEnd"/>
            <w:r w:rsidRPr="004178B2">
              <w:rPr>
                <w:sz w:val="20"/>
                <w:szCs w:val="20"/>
              </w:rPr>
              <w:t xml:space="preserve"> inheritance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Phenotypic ratios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Evolution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Speciation and artificial selection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DNA profiling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DNA sequencing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4178B2">
              <w:rPr>
                <w:sz w:val="20"/>
                <w:szCs w:val="20"/>
              </w:rPr>
              <w:t>Genetic engineering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Gene tech and ethics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Cloning in plants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Cloning animals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Microorganisms and biotech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Microorganisms, medicines and biotech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 xml:space="preserve">Culturing </w:t>
            </w:r>
            <w:proofErr w:type="spellStart"/>
            <w:r w:rsidRPr="004178B2">
              <w:rPr>
                <w:sz w:val="20"/>
                <w:szCs w:val="20"/>
              </w:rPr>
              <w:t>microorgs</w:t>
            </w:r>
            <w:proofErr w:type="spellEnd"/>
            <w:r w:rsidRPr="004178B2">
              <w:rPr>
                <w:sz w:val="20"/>
                <w:szCs w:val="20"/>
              </w:rPr>
              <w:t xml:space="preserve"> – lab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 xml:space="preserve">Culturing </w:t>
            </w:r>
            <w:proofErr w:type="spellStart"/>
            <w:r w:rsidRPr="004178B2">
              <w:rPr>
                <w:sz w:val="20"/>
                <w:szCs w:val="20"/>
              </w:rPr>
              <w:t>microorgs</w:t>
            </w:r>
            <w:proofErr w:type="spellEnd"/>
            <w:r w:rsidRPr="004178B2">
              <w:rPr>
                <w:sz w:val="20"/>
                <w:szCs w:val="20"/>
              </w:rPr>
              <w:t xml:space="preserve"> – industry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Immobilised enzymes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Ecosystems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Biomass transfer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Recycling in ecosystems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Succession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Measuring distribution and abundance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Population size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Competition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sustainability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Conservation and preservation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Ecosystem management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  <w:tr w:rsidR="004178B2" w:rsidTr="004178B2">
        <w:tc>
          <w:tcPr>
            <w:tcW w:w="1848" w:type="dxa"/>
          </w:tcPr>
          <w:p w:rsidR="004178B2" w:rsidRPr="004178B2" w:rsidRDefault="004178B2">
            <w:pPr>
              <w:rPr>
                <w:sz w:val="20"/>
                <w:szCs w:val="20"/>
              </w:rPr>
            </w:pPr>
            <w:r w:rsidRPr="004178B2">
              <w:rPr>
                <w:sz w:val="20"/>
                <w:szCs w:val="20"/>
              </w:rPr>
              <w:t>Environmentally sensitive ecosystems</w:t>
            </w:r>
          </w:p>
        </w:tc>
        <w:tc>
          <w:tcPr>
            <w:tcW w:w="1848" w:type="dxa"/>
          </w:tcPr>
          <w:p w:rsidR="004178B2" w:rsidRDefault="004178B2"/>
        </w:tc>
        <w:tc>
          <w:tcPr>
            <w:tcW w:w="1848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  <w:tc>
          <w:tcPr>
            <w:tcW w:w="1849" w:type="dxa"/>
          </w:tcPr>
          <w:p w:rsidR="004178B2" w:rsidRDefault="004178B2"/>
        </w:tc>
      </w:tr>
    </w:tbl>
    <w:p w:rsidR="004178B2" w:rsidRDefault="004178B2"/>
    <w:sectPr w:rsidR="004178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8B2"/>
    <w:rsid w:val="004178B2"/>
    <w:rsid w:val="00E8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Beechen Cliff School</dc:creator>
  <cp:lastModifiedBy>Beechen Cliff School</cp:lastModifiedBy>
  <cp:revision>1</cp:revision>
  <cp:lastPrinted>2016-11-17T09:54:00Z</cp:lastPrinted>
  <dcterms:created xsi:type="dcterms:W3CDTF">2016-11-17T09:45:00Z</dcterms:created>
  <dcterms:modified xsi:type="dcterms:W3CDTF">2016-11-17T09:54:00Z</dcterms:modified>
</cp:coreProperties>
</file>